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EEB84" w14:textId="59D652AD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>3GPP TSG RAN WG</w:t>
      </w:r>
      <w:r w:rsidR="004009C7">
        <w:rPr>
          <w:rFonts w:ascii="Arial" w:hAnsi="Arial" w:cs="Arial"/>
          <w:b/>
          <w:kern w:val="2"/>
          <w:lang w:eastAsia="zh-CN"/>
        </w:rPr>
        <w:t>4</w: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4009C7">
        <w:rPr>
          <w:rFonts w:ascii="Arial" w:hAnsi="Arial" w:cs="Arial"/>
          <w:b/>
          <w:kern w:val="2"/>
          <w:lang w:eastAsia="zh-CN"/>
        </w:rPr>
        <w:t>Meeting #92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4009C7">
        <w:rPr>
          <w:rFonts w:ascii="Arial" w:hAnsi="Arial" w:cs="Arial"/>
          <w:b/>
          <w:kern w:val="2"/>
          <w:lang w:eastAsia="zh-CN"/>
        </w:rPr>
        <w:t>4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A460BF" w:rsidRPr="00D74B92">
        <w:rPr>
          <w:rFonts w:ascii="Arial" w:hAnsi="Arial" w:cs="Arial"/>
          <w:b/>
          <w:kern w:val="2"/>
          <w:lang w:eastAsia="zh-CN"/>
        </w:rPr>
        <w:t>19</w:t>
      </w:r>
      <w:r w:rsidR="004009C7">
        <w:rPr>
          <w:rFonts w:ascii="Arial" w:hAnsi="Arial" w:cs="Arial"/>
          <w:b/>
          <w:kern w:val="2"/>
          <w:lang w:eastAsia="zh-CN"/>
        </w:rPr>
        <w:t>0</w:t>
      </w:r>
      <w:r w:rsidR="00234FCB">
        <w:rPr>
          <w:rFonts w:ascii="Arial" w:hAnsi="Arial" w:cs="Arial"/>
          <w:b/>
          <w:kern w:val="2"/>
          <w:lang w:eastAsia="zh-CN"/>
        </w:rPr>
        <w:t>8352</w:t>
      </w:r>
      <w:bookmarkStart w:id="0" w:name="_GoBack"/>
      <w:bookmarkEnd w:id="0"/>
    </w:p>
    <w:p w14:paraId="2A9D85E6" w14:textId="5B60483A" w:rsidR="009C0564" w:rsidRPr="007F5EC6" w:rsidRDefault="00940263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Ljubljana</w:t>
      </w:r>
      <w:r w:rsidR="00753191" w:rsidRPr="00D74B92">
        <w:rPr>
          <w:rFonts w:ascii="Arial" w:hAnsi="Arial" w:cs="Arial"/>
          <w:b/>
          <w:kern w:val="2"/>
          <w:lang w:eastAsia="zh-CN"/>
        </w:rPr>
        <w:t>,</w:t>
      </w:r>
      <w:r>
        <w:rPr>
          <w:rFonts w:ascii="Arial" w:hAnsi="Arial" w:cs="Arial"/>
          <w:b/>
          <w:kern w:val="2"/>
          <w:lang w:eastAsia="zh-CN"/>
        </w:rPr>
        <w:t xml:space="preserve"> Slovenia</w:t>
      </w:r>
      <w:r w:rsidR="00A06AAD">
        <w:rPr>
          <w:rFonts w:ascii="Arial" w:hAnsi="Arial" w:cs="Arial"/>
          <w:b/>
          <w:kern w:val="2"/>
          <w:lang w:eastAsia="zh-CN"/>
        </w:rPr>
        <w:t xml:space="preserve">, </w:t>
      </w:r>
      <w:r w:rsidR="00A06AAD" w:rsidRPr="00D74B92">
        <w:rPr>
          <w:rFonts w:ascii="Arial" w:hAnsi="Arial" w:cs="Arial"/>
          <w:b/>
          <w:kern w:val="2"/>
          <w:lang w:eastAsia="zh-CN"/>
        </w:rPr>
        <w:t>August</w:t>
      </w:r>
      <w:r w:rsidR="00F16BF2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A06AAD"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 w:rsidR="00A06AAD"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43BB43DD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3114">
        <w:rPr>
          <w:rFonts w:ascii="Arial" w:hAnsi="Arial" w:cs="Arial"/>
          <w:b/>
          <w:lang w:eastAsia="zh-CN"/>
        </w:rPr>
        <w:t>9</w:t>
      </w:r>
      <w:r w:rsidR="00A06AAD">
        <w:rPr>
          <w:rFonts w:ascii="Arial" w:hAnsi="Arial" w:cs="Arial"/>
          <w:b/>
          <w:lang w:eastAsia="zh-CN"/>
        </w:rPr>
        <w:t>.4.2.</w:t>
      </w:r>
      <w:r w:rsidR="00C03114">
        <w:rPr>
          <w:rFonts w:ascii="Arial" w:hAnsi="Arial" w:cs="Arial"/>
          <w:b/>
          <w:lang w:eastAsia="zh-CN"/>
        </w:rPr>
        <w:t>2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40E4858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0528E1">
        <w:rPr>
          <w:rFonts w:ascii="Arial" w:hAnsi="Arial" w:cs="Arial"/>
          <w:b/>
          <w:lang w:eastAsia="zh-CN"/>
        </w:rPr>
        <w:t xml:space="preserve">Evaluation Considerations for </w:t>
      </w:r>
      <w:r w:rsidR="00AF6682">
        <w:rPr>
          <w:rFonts w:ascii="Arial" w:hAnsi="Arial" w:cs="Arial"/>
          <w:b/>
          <w:lang w:eastAsia="zh-CN"/>
        </w:rPr>
        <w:t>Indevice</w:t>
      </w:r>
      <w:r w:rsidR="001A2417">
        <w:rPr>
          <w:rFonts w:ascii="Arial" w:hAnsi="Arial" w:cs="Arial"/>
          <w:b/>
          <w:lang w:eastAsia="zh-CN"/>
        </w:rPr>
        <w:t xml:space="preserve"> Coexistence</w:t>
      </w:r>
      <w:r w:rsidR="00AF6682">
        <w:rPr>
          <w:rFonts w:ascii="Arial" w:hAnsi="Arial" w:cs="Arial"/>
          <w:b/>
          <w:lang w:eastAsia="zh-CN"/>
        </w:rPr>
        <w:t xml:space="preserve"> </w:t>
      </w:r>
    </w:p>
    <w:p w14:paraId="62BCD72B" w14:textId="2B69589E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 xml:space="preserve">Discussion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22DFCC32" w14:textId="4E718512" w:rsidR="00B87EC9" w:rsidRPr="007F5EC6" w:rsidRDefault="001A2417" w:rsidP="00A06AAD">
      <w:r w:rsidRPr="001A2417">
        <w:rPr>
          <w:lang w:eastAsia="zh-CN"/>
        </w:rPr>
        <w:t xml:space="preserve">This contribution provides </w:t>
      </w:r>
      <w:r w:rsidR="00AF6682">
        <w:rPr>
          <w:lang w:eastAsia="zh-CN"/>
        </w:rPr>
        <w:t xml:space="preserve">some considerations towards the evaluation of indevice coexistence. </w:t>
      </w:r>
    </w:p>
    <w:p w14:paraId="7EA95162" w14:textId="77777777" w:rsidR="00B87EC9" w:rsidRPr="007F5EC6" w:rsidRDefault="00B87EC9" w:rsidP="007F5EC6"/>
    <w:p w14:paraId="35954F20" w14:textId="71B7F0A3" w:rsidR="00816E9B" w:rsidRPr="00D74B92" w:rsidRDefault="00816E9B" w:rsidP="00493C77">
      <w:pPr>
        <w:pStyle w:val="Heading1"/>
      </w:pPr>
      <w:r w:rsidRPr="00D74B92">
        <w:t>Discussion</w:t>
      </w:r>
      <w:r w:rsidR="00623A6F" w:rsidRPr="00D74B92">
        <w:t xml:space="preserve"> for </w:t>
      </w:r>
      <w:r w:rsidR="00AF6682">
        <w:t>Indevice coexistence evaluations</w:t>
      </w:r>
    </w:p>
    <w:p w14:paraId="2FD36C80" w14:textId="51E0B37E" w:rsidR="00816E9B" w:rsidRDefault="00AF6682" w:rsidP="00816E9B">
      <w:pPr>
        <w:pStyle w:val="Heading2"/>
        <w:rPr>
          <w:rFonts w:cs="Arial"/>
        </w:rPr>
      </w:pPr>
      <w:r>
        <w:rPr>
          <w:rFonts w:cs="Arial"/>
        </w:rPr>
        <w:t>Background</w:t>
      </w:r>
    </w:p>
    <w:p w14:paraId="68B23CED" w14:textId="33825E53" w:rsidR="00AF6682" w:rsidRDefault="00FB0E06" w:rsidP="00AF6682">
      <w:pPr>
        <w:tabs>
          <w:tab w:val="num" w:pos="720"/>
        </w:tabs>
      </w:pPr>
      <w:r>
        <w:t>In RAN4#</w:t>
      </w:r>
      <w:r w:rsidR="00AF6682">
        <w:t>92-bis</w:t>
      </w:r>
      <w:r>
        <w:t>, Initial</w:t>
      </w:r>
      <w:r w:rsidR="00AF6682">
        <w:t xml:space="preserve"> coexistence scenarios and simulation parameters</w:t>
      </w:r>
      <w:r>
        <w:t xml:space="preserve"> was agreed in [1].  In this </w:t>
      </w:r>
      <w:r w:rsidR="002551B6">
        <w:t xml:space="preserve">WF </w:t>
      </w:r>
      <w:r>
        <w:t>document, the part about indevice coexistence is as follows:</w:t>
      </w:r>
    </w:p>
    <w:p w14:paraId="40F16154" w14:textId="25624926" w:rsidR="006F7413" w:rsidRPr="00AF6682" w:rsidRDefault="00FB0E06" w:rsidP="00AF6682">
      <w:pPr>
        <w:tabs>
          <w:tab w:val="num" w:pos="720"/>
        </w:tabs>
      </w:pPr>
      <w:r>
        <w:t>In</w:t>
      </w:r>
      <w:r w:rsidR="005B389F" w:rsidRPr="00AF6682">
        <w:t>device coexistence</w:t>
      </w:r>
    </w:p>
    <w:p w14:paraId="072FA365" w14:textId="77777777" w:rsidR="006F7413" w:rsidRPr="00AF6682" w:rsidRDefault="005B389F" w:rsidP="005B389F">
      <w:pPr>
        <w:numPr>
          <w:ilvl w:val="1"/>
          <w:numId w:val="4"/>
        </w:numPr>
      </w:pPr>
      <w:r w:rsidRPr="00AF6682">
        <w:t>(LTE SL and NR SL operation at ITS spectrum) without (LTE or NR Uu in another band) on the same device</w:t>
      </w:r>
    </w:p>
    <w:p w14:paraId="499BFEEE" w14:textId="77777777" w:rsidR="006F7413" w:rsidRPr="00AF6682" w:rsidRDefault="005B389F" w:rsidP="005B389F">
      <w:pPr>
        <w:numPr>
          <w:ilvl w:val="2"/>
          <w:numId w:val="4"/>
        </w:numPr>
      </w:pPr>
      <w:r w:rsidRPr="00AF6682">
        <w:t xml:space="preserve">TDM operation in 5.9 GHz ITS spectrum. </w:t>
      </w:r>
    </w:p>
    <w:p w14:paraId="008FD4DE" w14:textId="31DC707C" w:rsidR="006F7413" w:rsidRPr="00AF6682" w:rsidRDefault="005B389F" w:rsidP="005B389F">
      <w:pPr>
        <w:numPr>
          <w:ilvl w:val="3"/>
          <w:numId w:val="4"/>
        </w:numPr>
      </w:pPr>
      <w:r w:rsidRPr="00AF6682">
        <w:t xml:space="preserve">Based on approved WID, </w:t>
      </w:r>
      <w:r w:rsidRPr="00AF6682">
        <w:rPr>
          <w:b/>
          <w:bCs/>
        </w:rPr>
        <w:t xml:space="preserve">no </w:t>
      </w:r>
      <w:r w:rsidR="00AF6682" w:rsidRPr="00AF6682">
        <w:rPr>
          <w:b/>
          <w:bCs/>
        </w:rPr>
        <w:t>self-interference</w:t>
      </w:r>
      <w:r w:rsidRPr="00AF6682">
        <w:rPr>
          <w:b/>
          <w:bCs/>
        </w:rPr>
        <w:t xml:space="preserve"> issues</w:t>
      </w:r>
      <w:r w:rsidRPr="00AF6682">
        <w:t xml:space="preserve"> are identified for the IDC </w:t>
      </w:r>
    </w:p>
    <w:p w14:paraId="28E60B69" w14:textId="77777777" w:rsidR="006F7413" w:rsidRPr="00AF6682" w:rsidRDefault="005B389F" w:rsidP="005B389F">
      <w:pPr>
        <w:numPr>
          <w:ilvl w:val="4"/>
          <w:numId w:val="4"/>
        </w:numPr>
      </w:pPr>
      <w:r w:rsidRPr="00AF6682">
        <w:t>Switching times for TDM operation needs to be studied</w:t>
      </w:r>
    </w:p>
    <w:p w14:paraId="1C508EEB" w14:textId="77777777" w:rsidR="006F7413" w:rsidRPr="00AF6682" w:rsidRDefault="005B389F" w:rsidP="005B389F">
      <w:pPr>
        <w:numPr>
          <w:ilvl w:val="2"/>
          <w:numId w:val="4"/>
        </w:numPr>
      </w:pPr>
      <w:r w:rsidRPr="00AF6682">
        <w:rPr>
          <w:lang w:val="en-GB"/>
        </w:rPr>
        <w:t xml:space="preserve">FDM operation </w:t>
      </w:r>
    </w:p>
    <w:p w14:paraId="59878F32" w14:textId="77777777" w:rsidR="006F7413" w:rsidRPr="00AF6682" w:rsidRDefault="005B389F" w:rsidP="005B389F">
      <w:pPr>
        <w:numPr>
          <w:ilvl w:val="3"/>
          <w:numId w:val="4"/>
        </w:numPr>
      </w:pPr>
      <w:r w:rsidRPr="00AF6682">
        <w:t xml:space="preserve">The inter-band FDM operation includes a band for LTE SL (at 5.9GHz) and a band for NR sidelink operation. </w:t>
      </w:r>
      <w:r w:rsidRPr="00AF6682">
        <w:rPr>
          <w:b/>
          <w:bCs/>
        </w:rPr>
        <w:t>RAN4 defers the coexistence discussion to May meeting. Some feedback from 5GAA and operator expected. Final decision on band is discussed in RAN4.</w:t>
      </w:r>
    </w:p>
    <w:p w14:paraId="408D4DBD" w14:textId="179167B1" w:rsidR="00AF6682" w:rsidRDefault="00AF6682" w:rsidP="00AF6682">
      <w:pPr>
        <w:rPr>
          <w:b/>
          <w:bCs/>
        </w:rPr>
      </w:pPr>
      <w:r w:rsidRPr="00AF6682">
        <w:rPr>
          <w:b/>
          <w:bCs/>
        </w:rPr>
        <w:t xml:space="preserve">  * There is no self-interference problem in ITS spectrum</w:t>
      </w:r>
    </w:p>
    <w:p w14:paraId="4043AEBE" w14:textId="7F9386C3" w:rsidR="00FB0E06" w:rsidRDefault="00FB0E06" w:rsidP="00AF6682">
      <w:pPr>
        <w:rPr>
          <w:b/>
          <w:bCs/>
        </w:rPr>
      </w:pPr>
    </w:p>
    <w:p w14:paraId="3B92E0EE" w14:textId="27D618B6" w:rsidR="00FB0E06" w:rsidRDefault="00FB0E06" w:rsidP="00FB0E06">
      <w:pPr>
        <w:pStyle w:val="Heading2"/>
        <w:rPr>
          <w:rFonts w:cs="Arial"/>
        </w:rPr>
      </w:pPr>
      <w:r>
        <w:rPr>
          <w:rFonts w:cs="Arial"/>
        </w:rPr>
        <w:t>Discussion</w:t>
      </w:r>
    </w:p>
    <w:p w14:paraId="394C82ED" w14:textId="48DDDFB1" w:rsidR="00894445" w:rsidRDefault="006E2D66" w:rsidP="00894445">
      <w:r>
        <w:t>For the TDM solutions, the switching time and boundary</w:t>
      </w:r>
      <w:r w:rsidR="00894445">
        <w:t xml:space="preserve"> alignment between the SLs is required, as well as both SLs being aware of the other's time resource index, e.g. DFN on the LTE SL. There can be:</w:t>
      </w:r>
    </w:p>
    <w:p w14:paraId="4747A041" w14:textId="77777777" w:rsidR="00894445" w:rsidRPr="00D5434C" w:rsidRDefault="00894445" w:rsidP="00894445">
      <w:pPr>
        <w:pStyle w:val="B1"/>
        <w:rPr>
          <w:sz w:val="22"/>
        </w:rPr>
      </w:pPr>
      <w:r w:rsidRPr="00D5434C">
        <w:rPr>
          <w:sz w:val="22"/>
        </w:rPr>
        <w:t>1.</w:t>
      </w:r>
      <w:r w:rsidRPr="00D5434C">
        <w:rPr>
          <w:sz w:val="22"/>
        </w:rPr>
        <w:tab/>
        <w:t>Long-term timescale coordination, where potential transmissions in time of LTE and NR V2X are statically/quasi-statically determined; or</w:t>
      </w:r>
    </w:p>
    <w:p w14:paraId="21DBB582" w14:textId="77777777" w:rsidR="00894445" w:rsidRDefault="00894445" w:rsidP="00894445">
      <w:pPr>
        <w:pStyle w:val="B1"/>
        <w:rPr>
          <w:sz w:val="22"/>
        </w:rPr>
      </w:pPr>
      <w:r w:rsidRPr="00D5434C">
        <w:rPr>
          <w:sz w:val="22"/>
        </w:rPr>
        <w:t>2.</w:t>
      </w:r>
      <w:r w:rsidRPr="00D5434C">
        <w:rPr>
          <w:sz w:val="22"/>
        </w:rPr>
        <w:tab/>
        <w:t>Short-term timescale coordination, where transmissions in time of LTE and NR V2X are known to each RAT.</w:t>
      </w:r>
    </w:p>
    <w:p w14:paraId="122D79CC" w14:textId="78788005" w:rsidR="00894445" w:rsidRPr="003E7871" w:rsidRDefault="003E7871" w:rsidP="00894445">
      <w:r>
        <w:t xml:space="preserve">As concluded in the TR 38.885 [2], the </w:t>
      </w:r>
      <w:r w:rsidR="00894445">
        <w:t>long-term timescale coordination</w:t>
      </w:r>
      <w:r>
        <w:t xml:space="preserve"> and</w:t>
      </w:r>
      <w:r w:rsidR="00894445">
        <w:t xml:space="preserve"> coexistence is feasible from </w:t>
      </w:r>
      <w:r w:rsidR="00894445" w:rsidRPr="003E7871">
        <w:t>the physical-layer point of view by (pre-) configuring resource pools which are non-overlapping in the time-domain, with no need to modify LTE specifications. This may have impacts on</w:t>
      </w:r>
    </w:p>
    <w:p w14:paraId="75A64B97" w14:textId="77777777" w:rsidR="00894445" w:rsidRPr="003E7871" w:rsidRDefault="00894445" w:rsidP="00894445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/>
        </w:rPr>
      </w:pPr>
      <w:r w:rsidRPr="003E7871">
        <w:rPr>
          <w:rFonts w:ascii="Times New Roman" w:hAnsi="Times New Roman"/>
        </w:rPr>
        <w:t xml:space="preserve">latency, </w:t>
      </w:r>
    </w:p>
    <w:p w14:paraId="07AEE0D0" w14:textId="77777777" w:rsidR="00894445" w:rsidRPr="003E7871" w:rsidRDefault="00894445" w:rsidP="00894445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/>
        </w:rPr>
      </w:pPr>
      <w:r w:rsidRPr="003E7871">
        <w:rPr>
          <w:rFonts w:ascii="Times New Roman" w:hAnsi="Times New Roman"/>
        </w:rPr>
        <w:t xml:space="preserve">reliability and </w:t>
      </w:r>
    </w:p>
    <w:p w14:paraId="5AF32FE7" w14:textId="77777777" w:rsidR="00894445" w:rsidRPr="003E7871" w:rsidRDefault="00894445" w:rsidP="00894445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/>
        </w:rPr>
      </w:pPr>
      <w:r w:rsidRPr="003E7871">
        <w:rPr>
          <w:rFonts w:ascii="Times New Roman" w:hAnsi="Times New Roman"/>
        </w:rPr>
        <w:t>data rate requirements for some V2X applications.</w:t>
      </w:r>
    </w:p>
    <w:p w14:paraId="3E818E6E" w14:textId="41D43707" w:rsidR="00894445" w:rsidRDefault="00894445" w:rsidP="00894445">
      <w:r>
        <w:lastRenderedPageBreak/>
        <w:t>For short-term timescale coordination:</w:t>
      </w:r>
    </w:p>
    <w:p w14:paraId="0B41DFD1" w14:textId="77777777" w:rsidR="00894445" w:rsidRPr="003E7871" w:rsidRDefault="00894445" w:rsidP="00894445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/>
        </w:rPr>
      </w:pPr>
      <w:r w:rsidRPr="003E7871">
        <w:rPr>
          <w:rFonts w:ascii="Times New Roman" w:hAnsi="Times New Roman"/>
        </w:rPr>
        <w:t xml:space="preserve"> the traffic load of LTE and NR is at or below an acceptable level, and </w:t>
      </w:r>
    </w:p>
    <w:p w14:paraId="7933FDD5" w14:textId="77777777" w:rsidR="00894445" w:rsidRPr="003E7871" w:rsidRDefault="00894445" w:rsidP="00894445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/>
        </w:rPr>
      </w:pPr>
      <w:r w:rsidRPr="003E7871">
        <w:rPr>
          <w:rFonts w:ascii="Times New Roman" w:hAnsi="Times New Roman"/>
        </w:rPr>
        <w:t>(With and without information exchange) needs information exchange within the UE between the SLs. It is expected that normative work on prioritization would cover high-level principles of prioritization, while details would be left to UE implementation.</w:t>
      </w:r>
    </w:p>
    <w:p w14:paraId="29019B1D" w14:textId="35C6C127" w:rsidR="008E2EA0" w:rsidRDefault="00894445" w:rsidP="008E2EA0">
      <w:r>
        <w:t xml:space="preserve">For both long-term and short-term TDM, the specific requirement of </w:t>
      </w:r>
      <w:r w:rsidR="006E2D66">
        <w:t>synchronization</w:t>
      </w:r>
      <w:r>
        <w:t xml:space="preserve"> of subframe boundary alignment need to be studied.</w:t>
      </w:r>
      <w:r w:rsidR="005C1FFC">
        <w:t xml:space="preserve">  From RAN4 perspective, t</w:t>
      </w:r>
      <w:r w:rsidR="008E2EA0">
        <w:t xml:space="preserve">he discussion regarding the traffic load and </w:t>
      </w:r>
      <w:r w:rsidR="005C1FFC">
        <w:t>prioritization (for long-term coordination), and synchronization and symbol-level boundary study (for short-term coordination may be required.</w:t>
      </w:r>
    </w:p>
    <w:p w14:paraId="00FCF9A4" w14:textId="6F62E1C6" w:rsidR="008E2EA0" w:rsidRPr="008E2EA0" w:rsidRDefault="008E2EA0" w:rsidP="00894445">
      <w:pPr>
        <w:rPr>
          <w:b/>
        </w:rPr>
      </w:pPr>
      <w:r w:rsidRPr="008E2EA0">
        <w:rPr>
          <w:b/>
        </w:rPr>
        <w:t>Proposal 1:  RAN4 should list the indevice evaluation considerations for TDM operation.</w:t>
      </w:r>
    </w:p>
    <w:p w14:paraId="74F3DE3C" w14:textId="040D869A" w:rsidR="00894445" w:rsidRDefault="008E2EA0" w:rsidP="00894445">
      <w:r>
        <w:t>For FDD</w:t>
      </w:r>
      <w:r w:rsidR="00E046A5">
        <w:t>, the inter-band and intra-band indevice coexistence is identified to be feasible [2]. Several of the details are left to the UE implementation.  RAN4 should discuss evaluation considerations for the interb</w:t>
      </w:r>
      <w:r w:rsidR="005C1FFC">
        <w:t>and and intraband FDM operation, and if this would have impacts on UE RF requirements.</w:t>
      </w:r>
    </w:p>
    <w:p w14:paraId="5A9774EE" w14:textId="06A4E5E5" w:rsidR="00E046A5" w:rsidRPr="008E2EA0" w:rsidRDefault="00E046A5" w:rsidP="00E046A5">
      <w:pPr>
        <w:rPr>
          <w:b/>
        </w:rPr>
      </w:pPr>
      <w:r w:rsidRPr="008E2EA0">
        <w:rPr>
          <w:b/>
        </w:rPr>
        <w:t xml:space="preserve">Proposal </w:t>
      </w:r>
      <w:r>
        <w:rPr>
          <w:b/>
        </w:rPr>
        <w:t>2</w:t>
      </w:r>
      <w:r w:rsidRPr="008E2EA0">
        <w:rPr>
          <w:b/>
        </w:rPr>
        <w:t xml:space="preserve">:  RAN4 should list </w:t>
      </w:r>
      <w:r>
        <w:rPr>
          <w:b/>
        </w:rPr>
        <w:t xml:space="preserve">if there are </w:t>
      </w:r>
      <w:r w:rsidRPr="008E2EA0">
        <w:rPr>
          <w:b/>
        </w:rPr>
        <w:t xml:space="preserve">indevice evaluation considerations for </w:t>
      </w:r>
      <w:r>
        <w:rPr>
          <w:b/>
        </w:rPr>
        <w:t>interband and intraband F</w:t>
      </w:r>
      <w:r w:rsidRPr="008E2EA0">
        <w:rPr>
          <w:b/>
        </w:rPr>
        <w:t>DM operation.</w:t>
      </w:r>
    </w:p>
    <w:p w14:paraId="0A7EDE47" w14:textId="77777777" w:rsidR="00E046A5" w:rsidRDefault="00E046A5" w:rsidP="00894445"/>
    <w:p w14:paraId="18B94AA5" w14:textId="0F4A4D86" w:rsidR="00157FC3" w:rsidRDefault="00747F48" w:rsidP="00493C77">
      <w:pPr>
        <w:pStyle w:val="Heading1"/>
      </w:pPr>
      <w:bookmarkStart w:id="3" w:name="_Ref129681832"/>
      <w:r w:rsidRPr="00493C77">
        <w:t>Conclusion</w:t>
      </w:r>
      <w:r w:rsidR="006B1FD5" w:rsidRPr="00493C77">
        <w:t>s</w:t>
      </w:r>
    </w:p>
    <w:p w14:paraId="308CD59D" w14:textId="078CF8A1" w:rsidR="00E046A5" w:rsidRPr="00E046A5" w:rsidRDefault="00E046A5" w:rsidP="00E046A5">
      <w:r>
        <w:t>Indevice coexistence is part of the WI. In this contribution, we provided some RAN4 considerations for indevice coexistence evaluation.</w:t>
      </w:r>
    </w:p>
    <w:p w14:paraId="1DD2CA1D" w14:textId="447B7CE1" w:rsidR="00FB0E06" w:rsidRDefault="008E2EA0" w:rsidP="00FB0E06">
      <w:pPr>
        <w:rPr>
          <w:b/>
        </w:rPr>
      </w:pPr>
      <w:r w:rsidRPr="008E2EA0">
        <w:rPr>
          <w:b/>
        </w:rPr>
        <w:t>Proposal 1:  RAN4 should list the indevice evaluation considerations for TDM operation.</w:t>
      </w:r>
    </w:p>
    <w:p w14:paraId="5A30701F" w14:textId="77777777" w:rsidR="00E046A5" w:rsidRPr="008E2EA0" w:rsidRDefault="00E046A5" w:rsidP="00E046A5">
      <w:pPr>
        <w:rPr>
          <w:b/>
        </w:rPr>
      </w:pPr>
      <w:r w:rsidRPr="008E2EA0">
        <w:rPr>
          <w:b/>
        </w:rPr>
        <w:t xml:space="preserve">Proposal </w:t>
      </w:r>
      <w:r>
        <w:rPr>
          <w:b/>
        </w:rPr>
        <w:t>2</w:t>
      </w:r>
      <w:r w:rsidRPr="008E2EA0">
        <w:rPr>
          <w:b/>
        </w:rPr>
        <w:t xml:space="preserve">:  RAN4 should list </w:t>
      </w:r>
      <w:r>
        <w:rPr>
          <w:b/>
        </w:rPr>
        <w:t xml:space="preserve">if there are </w:t>
      </w:r>
      <w:r w:rsidRPr="008E2EA0">
        <w:rPr>
          <w:b/>
        </w:rPr>
        <w:t xml:space="preserve">indevice evaluation considerations for </w:t>
      </w:r>
      <w:r>
        <w:rPr>
          <w:b/>
        </w:rPr>
        <w:t>interband and intraband F</w:t>
      </w:r>
      <w:r w:rsidRPr="008E2EA0">
        <w:rPr>
          <w:b/>
        </w:rPr>
        <w:t>DM operation.</w:t>
      </w:r>
    </w:p>
    <w:p w14:paraId="5072ABAA" w14:textId="77777777" w:rsidR="00E046A5" w:rsidRPr="007F5EC6" w:rsidRDefault="00E046A5" w:rsidP="00FB0E06">
      <w:pPr>
        <w:rPr>
          <w:lang w:eastAsia="zh-CN"/>
        </w:rPr>
      </w:pPr>
    </w:p>
    <w:p w14:paraId="3AA0708F" w14:textId="77777777" w:rsidR="00FB0E06" w:rsidRPr="00D74B92" w:rsidRDefault="00FB0E06" w:rsidP="00FB0E0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bookmarkEnd w:id="4"/>
    <w:bookmarkEnd w:id="5"/>
    <w:bookmarkEnd w:id="6"/>
    <w:p w14:paraId="73ACF7C5" w14:textId="3ED55D0E" w:rsidR="00FB0E06" w:rsidRDefault="00FB0E06" w:rsidP="00FB0E06">
      <w:r>
        <w:t>[1] R4-1907826</w:t>
      </w:r>
      <w:r w:rsidR="00E046A5">
        <w:t xml:space="preserve">, </w:t>
      </w:r>
      <w:r w:rsidR="00E046A5" w:rsidRPr="00FB0E06">
        <w:t>Initial</w:t>
      </w:r>
      <w:r w:rsidRPr="00FB0E06">
        <w:t xml:space="preserve"> coexistence scenarios and simulation parameters</w:t>
      </w:r>
      <w:r w:rsidR="00E046A5">
        <w:t>,</w:t>
      </w:r>
      <w:r>
        <w:t xml:space="preserve"> RAN4#92-bis, May 2019</w:t>
      </w:r>
    </w:p>
    <w:p w14:paraId="57368833" w14:textId="4385E394" w:rsidR="00E046A5" w:rsidRPr="00E046A5" w:rsidRDefault="00E046A5" w:rsidP="00FB0E06">
      <w:r w:rsidRPr="00E046A5">
        <w:t xml:space="preserve">[2] TR </w:t>
      </w:r>
      <w:r w:rsidRPr="00E046A5">
        <w:rPr>
          <w:rStyle w:val="Emphasis"/>
          <w:bCs/>
          <w:i w:val="0"/>
          <w:iCs w:val="0"/>
          <w:shd w:val="clear" w:color="auto" w:fill="FFFFFF"/>
        </w:rPr>
        <w:t>38.885</w:t>
      </w:r>
      <w:r>
        <w:rPr>
          <w:rStyle w:val="Emphasis"/>
          <w:bCs/>
          <w:i w:val="0"/>
          <w:iCs w:val="0"/>
          <w:shd w:val="clear" w:color="auto" w:fill="FFFFFF"/>
        </w:rPr>
        <w:t>,</w:t>
      </w:r>
      <w:r w:rsidRPr="00E046A5">
        <w:rPr>
          <w:shd w:val="clear" w:color="auto" w:fill="FFFFFF"/>
        </w:rPr>
        <w:t xml:space="preserve"> Study on NR Vehicle-to-Everything (V2X). </w:t>
      </w:r>
      <w:bookmarkEnd w:id="3"/>
    </w:p>
    <w:sectPr w:rsidR="00E046A5" w:rsidRPr="00E046A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B1468" w14:textId="77777777" w:rsidR="002A4624" w:rsidRDefault="002A4624">
      <w:r>
        <w:separator/>
      </w:r>
    </w:p>
  </w:endnote>
  <w:endnote w:type="continuationSeparator" w:id="0">
    <w:p w14:paraId="0D05532E" w14:textId="77777777" w:rsidR="002A4624" w:rsidRDefault="002A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3A35B" w14:textId="77777777" w:rsidR="002A4624" w:rsidRDefault="002A4624">
      <w:r>
        <w:separator/>
      </w:r>
    </w:p>
  </w:footnote>
  <w:footnote w:type="continuationSeparator" w:id="0">
    <w:p w14:paraId="70ACE14B" w14:textId="77777777" w:rsidR="002A4624" w:rsidRDefault="002A4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F42FA"/>
    <w:multiLevelType w:val="hybridMultilevel"/>
    <w:tmpl w:val="67CEB852"/>
    <w:lvl w:ilvl="0" w:tplc="28D84B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A221F"/>
    <w:multiLevelType w:val="hybridMultilevel"/>
    <w:tmpl w:val="903CD0F0"/>
    <w:lvl w:ilvl="0" w:tplc="2586D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41D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07F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C2F4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C26C04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08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F4E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9C9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25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8E1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15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4FCB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B6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624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1CE8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E7871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765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89F"/>
    <w:rsid w:val="005B3D4A"/>
    <w:rsid w:val="005B4D87"/>
    <w:rsid w:val="005B519B"/>
    <w:rsid w:val="005B6111"/>
    <w:rsid w:val="005B7DD1"/>
    <w:rsid w:val="005C00A0"/>
    <w:rsid w:val="005C0A1E"/>
    <w:rsid w:val="005C1F42"/>
    <w:rsid w:val="005C1FFC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2D66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6F7413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5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EA0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6682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989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114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6A5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0E06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894445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894445"/>
    <w:rPr>
      <w:rFonts w:eastAsia="Malgun Gothic"/>
      <w:lang w:val="en-GB"/>
    </w:rPr>
  </w:style>
  <w:style w:type="character" w:styleId="Emphasis">
    <w:name w:val="Emphasis"/>
    <w:basedOn w:val="DefaultParagraphFont"/>
    <w:uiPriority w:val="20"/>
    <w:qFormat/>
    <w:rsid w:val="00E046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89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3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992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91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453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09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992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4A51C-7B03-4720-B153-21A3D773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4</cp:revision>
  <cp:lastPrinted>2007-06-18T22:08:00Z</cp:lastPrinted>
  <dcterms:created xsi:type="dcterms:W3CDTF">2019-08-14T21:38:00Z</dcterms:created>
  <dcterms:modified xsi:type="dcterms:W3CDTF">2019-08-15T15:13:00Z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